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4"/>
        <w:gridCol w:w="1830"/>
        <w:gridCol w:w="1290"/>
        <w:gridCol w:w="2887"/>
        <w:gridCol w:w="3827"/>
      </w:tblGrid>
      <w:tr w:rsidR="00AF0CDB">
        <w:trPr>
          <w:trHeight w:val="1173"/>
          <w:jc w:val="center"/>
        </w:trPr>
        <w:tc>
          <w:tcPr>
            <w:tcW w:w="13797" w:type="dxa"/>
            <w:gridSpan w:val="6"/>
            <w:tcBorders>
              <w:top w:val="nil"/>
              <w:left w:val="nil"/>
              <w:right w:val="nil"/>
            </w:tcBorders>
            <w:vAlign w:val="center"/>
          </w:tcPr>
          <w:p w:rsidR="00AF0CDB" w:rsidRDefault="00FB138D">
            <w:pPr>
              <w:widowControl/>
              <w:spacing w:line="440" w:lineRule="exact"/>
              <w:rPr>
                <w:rFonts w:ascii="黑体" w:eastAsia="黑体" w:hAnsi="宋体" w:cs="宋体"/>
                <w:kern w:val="0"/>
                <w:sz w:val="32"/>
                <w:szCs w:val="32"/>
              </w:rPr>
            </w:pPr>
            <w:r>
              <w:rPr>
                <w:rFonts w:ascii="黑体" w:eastAsia="黑体" w:hAnsi="宋体" w:cs="宋体" w:hint="eastAsia"/>
                <w:kern w:val="0"/>
                <w:sz w:val="32"/>
                <w:szCs w:val="32"/>
              </w:rPr>
              <w:t>附  件</w:t>
            </w:r>
          </w:p>
          <w:p w:rsidR="00AF0CDB" w:rsidRDefault="00FB138D">
            <w:pPr>
              <w:widowControl/>
              <w:spacing w:line="560" w:lineRule="exact"/>
              <w:jc w:val="center"/>
              <w:rPr>
                <w:rFonts w:eastAsia="黑体" w:hAnsi="宋体"/>
                <w:b/>
                <w:bCs/>
                <w:color w:val="000000"/>
                <w:kern w:val="0"/>
                <w:sz w:val="44"/>
                <w:szCs w:val="44"/>
              </w:rPr>
            </w:pPr>
            <w:r>
              <w:rPr>
                <w:rFonts w:ascii="黑体" w:eastAsia="黑体" w:hAnsi="宋体" w:cs="宋体" w:hint="eastAsia"/>
                <w:kern w:val="0"/>
                <w:sz w:val="44"/>
                <w:szCs w:val="44"/>
              </w:rPr>
              <w:t>《郑州市非物质文化遗产保护办法》行政处罚自由裁量标准</w:t>
            </w:r>
          </w:p>
        </w:tc>
      </w:tr>
      <w:tr w:rsidR="00AF0CDB">
        <w:trPr>
          <w:trHeight w:val="1173"/>
          <w:jc w:val="center"/>
        </w:trPr>
        <w:tc>
          <w:tcPr>
            <w:tcW w:w="709"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序号</w:t>
            </w:r>
          </w:p>
        </w:tc>
        <w:tc>
          <w:tcPr>
            <w:tcW w:w="3254"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行政处罚依据</w:t>
            </w:r>
          </w:p>
        </w:tc>
        <w:tc>
          <w:tcPr>
            <w:tcW w:w="1830"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事项</w:t>
            </w:r>
          </w:p>
        </w:tc>
        <w:tc>
          <w:tcPr>
            <w:tcW w:w="1290"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裁量阶次</w:t>
            </w:r>
          </w:p>
        </w:tc>
        <w:tc>
          <w:tcPr>
            <w:tcW w:w="2887"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违法行为表现情形</w:t>
            </w:r>
          </w:p>
        </w:tc>
        <w:tc>
          <w:tcPr>
            <w:tcW w:w="3827" w:type="dxa"/>
            <w:vAlign w:val="center"/>
          </w:tcPr>
          <w:p w:rsidR="00AF0CDB" w:rsidRDefault="00FB138D">
            <w:pPr>
              <w:widowControl/>
              <w:spacing w:line="44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行政处罚标准</w:t>
            </w:r>
          </w:p>
        </w:tc>
      </w:tr>
      <w:tr w:rsidR="00AF0CDB">
        <w:trPr>
          <w:trHeight w:val="1632"/>
          <w:jc w:val="center"/>
        </w:trPr>
        <w:tc>
          <w:tcPr>
            <w:tcW w:w="709" w:type="dxa"/>
            <w:vMerge w:val="restart"/>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3254" w:type="dxa"/>
            <w:vMerge w:val="restart"/>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第四十八条 非物质文化遗产代表性项目保护单位或者代表性传承人违反本办法第四十四条第一款规定，从事与其资格不相符的名义开展传承、传播活动的，由市、县（市、区）非物质文化遗产行政管理部门责令限期改正，并处以警告。</w:t>
            </w:r>
          </w:p>
          <w:p w:rsidR="00AF0CDB" w:rsidRDefault="00FB138D">
            <w:pPr>
              <w:widowControl/>
              <w:spacing w:line="2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取得非物质文化遗产代表性项目保护单位、代表性传承人资格的单位或者个人违反本办法第四十四条第二款规定，以保护单位、代表性传承人的名义开展传承、传播活动的，由市、县（市、区）非物质文化遗产行政管理部门责令限期改正；逾期未改正的，对单位处以5000元以上1万元以下罚款，对个人处以1000元以上5000元以下罚款。</w:t>
            </w:r>
          </w:p>
        </w:tc>
        <w:tc>
          <w:tcPr>
            <w:tcW w:w="1830" w:type="dxa"/>
            <w:vMerge w:val="restart"/>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未取得非物质文化遗产代表性项目保护单位、代表性传承人资格的单位或者个人以保护单位、代表性传承人的名义开展传承、传播活动的</w:t>
            </w:r>
          </w:p>
        </w:tc>
        <w:tc>
          <w:tcPr>
            <w:tcW w:w="1290"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轻微</w:t>
            </w:r>
          </w:p>
        </w:tc>
        <w:tc>
          <w:tcPr>
            <w:tcW w:w="2887"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责令改正拒不改正，未发生损害的</w:t>
            </w:r>
          </w:p>
        </w:tc>
        <w:tc>
          <w:tcPr>
            <w:tcW w:w="3827" w:type="dxa"/>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对单位处以</w:t>
            </w:r>
            <w:r>
              <w:rPr>
                <w:rFonts w:ascii="仿宋_GB2312" w:eastAsia="仿宋_GB2312" w:hAnsi="仿宋_GB2312" w:cs="仿宋_GB2312"/>
                <w:color w:val="000000"/>
                <w:kern w:val="0"/>
                <w:sz w:val="24"/>
                <w:szCs w:val="24"/>
              </w:rPr>
              <w:t>5000-</w:t>
            </w:r>
            <w:r>
              <w:rPr>
                <w:rFonts w:ascii="仿宋_GB2312" w:eastAsia="仿宋_GB2312" w:hAnsi="仿宋_GB2312" w:cs="仿宋_GB2312" w:hint="eastAsia"/>
                <w:color w:val="000000"/>
                <w:kern w:val="0"/>
                <w:sz w:val="24"/>
                <w:szCs w:val="24"/>
              </w:rPr>
              <w:t>7000元罚款，对个人处以1000-2000元罚款。</w:t>
            </w:r>
          </w:p>
        </w:tc>
      </w:tr>
      <w:tr w:rsidR="00AF0CDB">
        <w:trPr>
          <w:trHeight w:val="1353"/>
          <w:jc w:val="center"/>
        </w:trPr>
        <w:tc>
          <w:tcPr>
            <w:tcW w:w="709"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3254"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1830"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1290"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一般</w:t>
            </w:r>
          </w:p>
        </w:tc>
        <w:tc>
          <w:tcPr>
            <w:tcW w:w="2887"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责令改正拒不改正，造成不良影响的</w:t>
            </w:r>
          </w:p>
        </w:tc>
        <w:tc>
          <w:tcPr>
            <w:tcW w:w="3827" w:type="dxa"/>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对单位处以7000-9000元罚款，对个人处以2000-4000元罚款。</w:t>
            </w:r>
          </w:p>
        </w:tc>
      </w:tr>
      <w:tr w:rsidR="00AF0CDB">
        <w:trPr>
          <w:trHeight w:val="2733"/>
          <w:jc w:val="center"/>
        </w:trPr>
        <w:tc>
          <w:tcPr>
            <w:tcW w:w="709"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3254"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1830" w:type="dxa"/>
            <w:vMerge/>
            <w:vAlign w:val="center"/>
          </w:tcPr>
          <w:p w:rsidR="00AF0CDB" w:rsidRDefault="00AF0CDB">
            <w:pPr>
              <w:widowControl/>
              <w:spacing w:line="240" w:lineRule="exact"/>
              <w:jc w:val="left"/>
              <w:rPr>
                <w:rFonts w:ascii="仿宋_GB2312" w:eastAsia="仿宋_GB2312" w:hAnsi="仿宋_GB2312" w:cs="仿宋_GB2312"/>
                <w:color w:val="000000"/>
                <w:kern w:val="0"/>
                <w:sz w:val="24"/>
                <w:szCs w:val="24"/>
              </w:rPr>
            </w:pPr>
          </w:p>
        </w:tc>
        <w:tc>
          <w:tcPr>
            <w:tcW w:w="1290"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严重</w:t>
            </w:r>
          </w:p>
        </w:tc>
        <w:tc>
          <w:tcPr>
            <w:tcW w:w="2887" w:type="dxa"/>
            <w:vAlign w:val="center"/>
          </w:tcPr>
          <w:p w:rsidR="00AF0CDB" w:rsidRDefault="00FB138D">
            <w:pPr>
              <w:widowControl/>
              <w:spacing w:line="2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责令改正拒不改正，造成重大社会影响或其他严重后果的</w:t>
            </w:r>
          </w:p>
        </w:tc>
        <w:tc>
          <w:tcPr>
            <w:tcW w:w="3827" w:type="dxa"/>
            <w:vAlign w:val="center"/>
          </w:tcPr>
          <w:p w:rsidR="00AF0CDB" w:rsidRDefault="00FB138D">
            <w:pPr>
              <w:widowControl/>
              <w:spacing w:line="2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对单位处以9000-10000元罚款，对个人处以4000-5000元罚款。</w:t>
            </w:r>
          </w:p>
        </w:tc>
      </w:tr>
    </w:tbl>
    <w:p w:rsidR="00AF0CDB" w:rsidRPr="0017547B" w:rsidRDefault="00AF0CDB" w:rsidP="00913D78">
      <w:pPr>
        <w:pStyle w:val="a6"/>
        <w:spacing w:before="0" w:beforeAutospacing="0" w:after="0" w:afterAutospacing="0" w:line="520" w:lineRule="exact"/>
      </w:pPr>
    </w:p>
    <w:sectPr w:rsidR="00AF0CDB" w:rsidRPr="0017547B" w:rsidSect="0017547B">
      <w:footerReference w:type="even" r:id="rId7"/>
      <w:pgSz w:w="16838" w:h="11906" w:orient="landscape"/>
      <w:pgMar w:top="1531" w:right="2098" w:bottom="1474" w:left="1871" w:header="851"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63" w:rsidRDefault="00344B63" w:rsidP="00AF0CDB">
      <w:r>
        <w:separator/>
      </w:r>
    </w:p>
  </w:endnote>
  <w:endnote w:type="continuationSeparator" w:id="1">
    <w:p w:rsidR="00344B63" w:rsidRDefault="00344B63" w:rsidP="00AF0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DB" w:rsidRDefault="00AF0CDB">
    <w:pPr>
      <w:pStyle w:val="a4"/>
    </w:pPr>
  </w:p>
  <w:p w:rsidR="00AF0CDB" w:rsidRDefault="00AF0CDB">
    <w:pPr>
      <w:pStyle w:val="a4"/>
      <w:rPr>
        <w:rFonts w:asciiTheme="majorEastAsia" w:eastAsiaTheme="majorEastAsia" w:hAnsiTheme="maj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63" w:rsidRDefault="00344B63" w:rsidP="00AF0CDB">
      <w:r>
        <w:separator/>
      </w:r>
    </w:p>
  </w:footnote>
  <w:footnote w:type="continuationSeparator" w:id="1">
    <w:p w:rsidR="00344B63" w:rsidRDefault="00344B63" w:rsidP="00AF0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evenAndOddHeaders/>
  <w:drawingGridHorizontalSpacing w:val="105"/>
  <w:drawingGridVerticalSpacing w:val="317"/>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8F1"/>
    <w:rsid w:val="BF6F3D64"/>
    <w:rsid w:val="00030EB9"/>
    <w:rsid w:val="000A46CB"/>
    <w:rsid w:val="0017547B"/>
    <w:rsid w:val="00344B63"/>
    <w:rsid w:val="003503A1"/>
    <w:rsid w:val="0067200F"/>
    <w:rsid w:val="00913D78"/>
    <w:rsid w:val="0095344F"/>
    <w:rsid w:val="00AF0CDB"/>
    <w:rsid w:val="00B25A6C"/>
    <w:rsid w:val="00D06B3E"/>
    <w:rsid w:val="00E328F1"/>
    <w:rsid w:val="00FB1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AF0CDB"/>
    <w:pPr>
      <w:spacing w:after="120"/>
      <w:ind w:leftChars="200" w:left="420"/>
    </w:pPr>
  </w:style>
  <w:style w:type="paragraph" w:styleId="a4">
    <w:name w:val="footer"/>
    <w:basedOn w:val="a"/>
    <w:link w:val="Char0"/>
    <w:uiPriority w:val="99"/>
    <w:unhideWhenUsed/>
    <w:qFormat/>
    <w:rsid w:val="00AF0CDB"/>
    <w:pPr>
      <w:tabs>
        <w:tab w:val="center" w:pos="4153"/>
        <w:tab w:val="right" w:pos="8306"/>
      </w:tabs>
      <w:snapToGrid w:val="0"/>
      <w:jc w:val="left"/>
    </w:pPr>
    <w:rPr>
      <w:sz w:val="18"/>
    </w:rPr>
  </w:style>
  <w:style w:type="paragraph" w:styleId="a5">
    <w:name w:val="header"/>
    <w:basedOn w:val="a"/>
    <w:link w:val="Char1"/>
    <w:uiPriority w:val="99"/>
    <w:semiHidden/>
    <w:unhideWhenUsed/>
    <w:qFormat/>
    <w:rsid w:val="00AF0CD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F0CDB"/>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nhideWhenUsed/>
    <w:qFormat/>
    <w:rsid w:val="00AF0CDB"/>
    <w:pPr>
      <w:ind w:firstLineChars="200" w:firstLine="420"/>
    </w:pPr>
    <w:rPr>
      <w:szCs w:val="24"/>
    </w:rPr>
  </w:style>
  <w:style w:type="character" w:styleId="a7">
    <w:name w:val="FollowedHyperlink"/>
    <w:basedOn w:val="a0"/>
    <w:uiPriority w:val="99"/>
    <w:semiHidden/>
    <w:unhideWhenUsed/>
    <w:qFormat/>
    <w:rsid w:val="00AF0CDB"/>
    <w:rPr>
      <w:color w:val="800080" w:themeColor="followedHyperlink"/>
      <w:u w:val="single"/>
    </w:rPr>
  </w:style>
  <w:style w:type="character" w:styleId="a8">
    <w:name w:val="Hyperlink"/>
    <w:basedOn w:val="a0"/>
    <w:qFormat/>
    <w:rsid w:val="00AF0CDB"/>
    <w:rPr>
      <w:color w:val="0000FF"/>
      <w:u w:val="single"/>
    </w:rPr>
  </w:style>
  <w:style w:type="character" w:customStyle="1" w:styleId="Char0">
    <w:name w:val="页脚 Char"/>
    <w:basedOn w:val="a0"/>
    <w:link w:val="a4"/>
    <w:uiPriority w:val="99"/>
    <w:qFormat/>
    <w:rsid w:val="00AF0CDB"/>
    <w:rPr>
      <w:rFonts w:ascii="Times New Roman" w:eastAsia="宋体" w:hAnsi="Times New Roman" w:cs="Times New Roman"/>
      <w:sz w:val="18"/>
      <w:szCs w:val="20"/>
    </w:rPr>
  </w:style>
  <w:style w:type="paragraph" w:customStyle="1" w:styleId="p0">
    <w:name w:val="p0"/>
    <w:basedOn w:val="a"/>
    <w:qFormat/>
    <w:rsid w:val="00AF0CDB"/>
    <w:pPr>
      <w:widowControl/>
    </w:pPr>
    <w:rPr>
      <w:kern w:val="0"/>
      <w:szCs w:val="21"/>
    </w:rPr>
  </w:style>
  <w:style w:type="character" w:customStyle="1" w:styleId="Char">
    <w:name w:val="正文文本缩进 Char"/>
    <w:basedOn w:val="a0"/>
    <w:link w:val="a3"/>
    <w:uiPriority w:val="99"/>
    <w:semiHidden/>
    <w:qFormat/>
    <w:rsid w:val="00AF0CDB"/>
    <w:rPr>
      <w:rFonts w:ascii="Times New Roman" w:eastAsia="宋体" w:hAnsi="Times New Roman" w:cs="Times New Roman"/>
      <w:szCs w:val="20"/>
    </w:rPr>
  </w:style>
  <w:style w:type="character" w:customStyle="1" w:styleId="2Char">
    <w:name w:val="正文首行缩进 2 Char"/>
    <w:basedOn w:val="Char"/>
    <w:link w:val="2"/>
    <w:qFormat/>
    <w:rsid w:val="00AF0CDB"/>
    <w:rPr>
      <w:szCs w:val="24"/>
    </w:rPr>
  </w:style>
  <w:style w:type="character" w:customStyle="1" w:styleId="Char1">
    <w:name w:val="页眉 Char"/>
    <w:basedOn w:val="a0"/>
    <w:link w:val="a5"/>
    <w:uiPriority w:val="99"/>
    <w:semiHidden/>
    <w:qFormat/>
    <w:rsid w:val="00AF0C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Words>
  <Characters>496</Characters>
  <Application>Microsoft Office Word</Application>
  <DocSecurity>0</DocSecurity>
  <Lines>4</Lines>
  <Paragraphs>1</Paragraphs>
  <ScaleCrop>false</ScaleCrop>
  <Company>Sky123.Org</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Administrator</cp:lastModifiedBy>
  <cp:revision>4</cp:revision>
  <dcterms:created xsi:type="dcterms:W3CDTF">2021-06-21T15:05:00Z</dcterms:created>
  <dcterms:modified xsi:type="dcterms:W3CDTF">2024-04-17T07:19:00Z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