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仿宋_GB2312" w:eastAsia="仿宋_GB2312"/>
          <w:kern w:val="0"/>
          <w:sz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仿宋_GB2312" w:eastAsia="仿宋_GB2312"/>
          <w:kern w:val="0"/>
          <w:sz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仿宋_GB2312" w:eastAsia="仿宋_GB2312"/>
          <w:kern w:val="0"/>
          <w:sz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仿宋_GB2312" w:eastAsia="仿宋_GB2312"/>
          <w:kern w:val="0"/>
          <w:sz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仿宋_GB2312" w:eastAsia="仿宋_GB2312"/>
          <w:kern w:val="0"/>
          <w:sz w:val="30"/>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仿宋_GB2312" w:eastAsia="仿宋_GB2312"/>
          <w:sz w:val="32"/>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仿宋" w:hAnsi="仿宋" w:eastAsia="仿宋"/>
          <w:sz w:val="32"/>
        </w:rPr>
      </w:pPr>
      <w:r>
        <w:rPr>
          <w:rFonts w:hint="default" w:ascii="Times New Roman" w:hAnsi="Times New Roman" w:eastAsia="仿宋_GB2312" w:cs="Times New Roman"/>
          <w:sz w:val="32"/>
          <w:szCs w:val="32"/>
        </w:rPr>
        <w:t>郑</w:t>
      </w:r>
      <w:r>
        <w:rPr>
          <w:rFonts w:hint="eastAsia" w:ascii="Times New Roman" w:hAnsi="Times New Roman" w:eastAsia="仿宋_GB2312" w:cs="Times New Roman"/>
          <w:sz w:val="32"/>
          <w:szCs w:val="32"/>
          <w:lang w:val="en-US" w:eastAsia="zh-CN"/>
        </w:rPr>
        <w:t>东经发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eastAsia="仿宋_GB2312"/>
          <w:sz w:val="32"/>
        </w:rPr>
      </w:pPr>
    </w:p>
    <w:p>
      <w:pPr>
        <w:keepNext w:val="0"/>
        <w:keepLines w:val="0"/>
        <w:pageBreakBefore w:val="0"/>
        <w:kinsoku/>
        <w:wordWrap/>
        <w:overflowPunct/>
        <w:topLinePunct w:val="0"/>
        <w:autoSpaceDE/>
        <w:autoSpaceDN/>
        <w:bidi w:val="0"/>
        <w:adjustRightInd/>
        <w:spacing w:line="560" w:lineRule="exact"/>
        <w:ind w:left="2043" w:hanging="1323"/>
        <w:jc w:val="left"/>
        <w:textAlignment w:val="auto"/>
        <w:rPr>
          <w:rFonts w:ascii="宋体" w:hAnsi="宋体"/>
          <w:b/>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郑东新区经济发展局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关于印发</w:t>
      </w:r>
      <w:r>
        <w:rPr>
          <w:rFonts w:hint="eastAsia" w:ascii="方正小标宋_GBK" w:hAnsi="方正小标宋_GBK" w:eastAsia="方正小标宋_GBK" w:cs="方正小标宋_GBK"/>
          <w:b w:val="0"/>
          <w:bCs w:val="0"/>
          <w:sz w:val="44"/>
          <w:szCs w:val="44"/>
          <w:lang w:val="en-US" w:eastAsia="zh-CN"/>
        </w:rPr>
        <w:t>2024年“双随机、一公开”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方正小标宋_GBK" w:hAnsi="方正小标宋_GBK" w:eastAsia="方正小标宋_GBK" w:cs="方正小标宋_GBK"/>
          <w:b w:val="0"/>
          <w:bCs w:val="0"/>
          <w:sz w:val="44"/>
          <w:szCs w:val="44"/>
          <w:lang w:val="en-US" w:eastAsia="zh-CN"/>
        </w:rPr>
        <w:t>监管工作抽查计划及检查事项清单的通知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郑东新区“双随机、一公开”工作统一部署，对标营商环境评估指标和绩效考核内容深化“放管服”改革，全面推进我区发改系统“双随机、一公开”监管工作，加强事中事后监管，提高监管公平性、规范性和有效性，经研究，现印发《2024年双随机、一公开监管工作抽查计划》（附件1）及《2024年双随机、一公开监管工作检查事项清单》（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3"/>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附件：1.《2024年双随机、一公开监管工作抽查计划》</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2.《2024年双随机、一公开监管工作检查事项清单》</w:t>
      </w: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ind w:firstLine="6400" w:firstLineChars="20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w w:val="100"/>
          <w:kern w:val="2"/>
          <w:sz w:val="32"/>
          <w:szCs w:val="32"/>
          <w:lang w:val="en-US" w:eastAsia="zh-CN" w:bidi="ar-SA"/>
        </w:rPr>
        <w:t>2024年3月27日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sectPr>
          <w:footerReference r:id="rId3" w:type="default"/>
          <w:pgSz w:w="11906" w:h="16838"/>
          <w:pgMar w:top="2098" w:right="1531" w:bottom="1984"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tbl>
      <w:tblPr>
        <w:tblStyle w:val="7"/>
        <w:tblpPr w:leftFromText="180" w:rightFromText="180" w:vertAnchor="text" w:horzAnchor="page" w:tblpX="1576" w:tblpY="963"/>
        <w:tblOverlap w:val="never"/>
        <w:tblW w:w="13460" w:type="dxa"/>
        <w:tblInd w:w="0" w:type="dxa"/>
        <w:tblLayout w:type="fixed"/>
        <w:tblCellMar>
          <w:top w:w="0" w:type="dxa"/>
          <w:left w:w="108" w:type="dxa"/>
          <w:bottom w:w="0" w:type="dxa"/>
          <w:right w:w="108" w:type="dxa"/>
        </w:tblCellMar>
      </w:tblPr>
      <w:tblGrid>
        <w:gridCol w:w="1668"/>
        <w:gridCol w:w="2040"/>
        <w:gridCol w:w="1586"/>
        <w:gridCol w:w="1572"/>
        <w:gridCol w:w="1719"/>
        <w:gridCol w:w="1706"/>
        <w:gridCol w:w="1535"/>
        <w:gridCol w:w="1634"/>
      </w:tblGrid>
      <w:tr>
        <w:tblPrEx>
          <w:tblCellMar>
            <w:top w:w="0" w:type="dxa"/>
            <w:left w:w="108" w:type="dxa"/>
            <w:bottom w:w="0" w:type="dxa"/>
            <w:right w:w="108" w:type="dxa"/>
          </w:tblCellMar>
        </w:tblPrEx>
        <w:trPr>
          <w:trHeight w:val="1546" w:hRule="atLeast"/>
        </w:trPr>
        <w:tc>
          <w:tcPr>
            <w:tcW w:w="1346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方正小标宋简体" w:cs="Times New Roman"/>
                <w:b w:val="0"/>
                <w:bCs w:val="0"/>
                <w:i w:val="0"/>
                <w:iCs w:val="0"/>
                <w:color w:val="000000"/>
                <w:kern w:val="0"/>
                <w:sz w:val="44"/>
                <w:szCs w:val="44"/>
                <w:u w:val="none"/>
                <w:lang w:val="en-US" w:eastAsia="zh-CN" w:bidi="ar"/>
              </w:rPr>
              <w:t>2024年双随机</w:t>
            </w:r>
            <w:r>
              <w:rPr>
                <w:rFonts w:hint="eastAsia" w:eastAsia="方正小标宋简体" w:cs="Times New Roman"/>
                <w:b w:val="0"/>
                <w:bCs w:val="0"/>
                <w:i w:val="0"/>
                <w:iCs w:val="0"/>
                <w:color w:val="000000"/>
                <w:kern w:val="0"/>
                <w:sz w:val="44"/>
                <w:szCs w:val="44"/>
                <w:u w:val="none"/>
                <w:lang w:val="en-US" w:eastAsia="zh-CN" w:bidi="ar"/>
              </w:rPr>
              <w:t>、</w:t>
            </w:r>
            <w:r>
              <w:rPr>
                <w:rFonts w:hint="default" w:ascii="Times New Roman" w:hAnsi="Times New Roman" w:eastAsia="方正小标宋简体" w:cs="Times New Roman"/>
                <w:b w:val="0"/>
                <w:bCs w:val="0"/>
                <w:i w:val="0"/>
                <w:iCs w:val="0"/>
                <w:color w:val="000000"/>
                <w:kern w:val="0"/>
                <w:sz w:val="44"/>
                <w:szCs w:val="44"/>
                <w:u w:val="none"/>
                <w:lang w:val="en-US" w:eastAsia="zh-CN" w:bidi="ar"/>
              </w:rPr>
              <w:t>一公开监管工作抽查计划</w:t>
            </w:r>
          </w:p>
        </w:tc>
      </w:tr>
      <w:tr>
        <w:tblPrEx>
          <w:tblCellMar>
            <w:top w:w="0" w:type="dxa"/>
            <w:left w:w="108" w:type="dxa"/>
            <w:bottom w:w="0" w:type="dxa"/>
            <w:right w:w="108" w:type="dxa"/>
          </w:tblCellMar>
        </w:tblPrEx>
        <w:trPr>
          <w:trHeight w:val="1139" w:hRule="atLeast"/>
        </w:trPr>
        <w:tc>
          <w:tcPr>
            <w:tcW w:w="1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任务名称</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抽查事项名称</w:t>
            </w:r>
          </w:p>
        </w:tc>
        <w:tc>
          <w:tcPr>
            <w:tcW w:w="1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事项类别</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检查对象</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检查方式</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抽查频次</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抽查比例</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30"/>
                <w:szCs w:val="30"/>
                <w:u w:val="none"/>
                <w:lang w:val="en-US" w:eastAsia="zh-CN" w:bidi="ar"/>
              </w:rPr>
            </w:pPr>
            <w:r>
              <w:rPr>
                <w:rFonts w:hint="default" w:ascii="Times New Roman" w:hAnsi="Times New Roman" w:eastAsia="黑体" w:cs="Times New Roman"/>
                <w:b w:val="0"/>
                <w:bCs w:val="0"/>
                <w:i w:val="0"/>
                <w:iCs w:val="0"/>
                <w:color w:val="000000"/>
                <w:kern w:val="0"/>
                <w:sz w:val="30"/>
                <w:szCs w:val="30"/>
                <w:u w:val="none"/>
                <w:lang w:val="en-US" w:eastAsia="zh-CN" w:bidi="ar"/>
              </w:rPr>
              <w:t>抽查时间</w:t>
            </w:r>
          </w:p>
        </w:tc>
      </w:tr>
      <w:tr>
        <w:tblPrEx>
          <w:tblCellMar>
            <w:top w:w="0" w:type="dxa"/>
            <w:left w:w="108" w:type="dxa"/>
            <w:bottom w:w="0" w:type="dxa"/>
            <w:right w:w="108" w:type="dxa"/>
          </w:tblCellMar>
        </w:tblPrEx>
        <w:trPr>
          <w:trHeight w:val="3855"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政府投资项目抽查检查</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对政府投资</w:t>
            </w:r>
            <w:r>
              <w:rPr>
                <w:rFonts w:hint="default" w:ascii="Times New Roman" w:hAnsi="Times New Roman" w:eastAsia="仿宋_GB2312" w:cs="Times New Roman"/>
                <w:i w:val="0"/>
                <w:iCs w:val="0"/>
                <w:color w:val="000000"/>
                <w:kern w:val="0"/>
                <w:sz w:val="28"/>
                <w:szCs w:val="28"/>
                <w:u w:val="none"/>
                <w:lang w:val="en-US" w:eastAsia="zh-CN" w:bidi="ar"/>
              </w:rPr>
              <w:br w:type="textWrapping"/>
            </w:r>
            <w:r>
              <w:rPr>
                <w:rFonts w:hint="default" w:ascii="Times New Roman" w:hAnsi="Times New Roman" w:eastAsia="仿宋_GB2312" w:cs="Times New Roman"/>
                <w:i w:val="0"/>
                <w:iCs w:val="0"/>
                <w:color w:val="000000"/>
                <w:kern w:val="0"/>
                <w:sz w:val="28"/>
                <w:szCs w:val="28"/>
                <w:u w:val="none"/>
                <w:lang w:val="en-US" w:eastAsia="zh-CN" w:bidi="ar"/>
              </w:rPr>
              <w:t>项目的监管</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一般检查</w:t>
            </w:r>
            <w:r>
              <w:rPr>
                <w:rFonts w:hint="default" w:ascii="Times New Roman" w:hAnsi="Times New Roman" w:eastAsia="仿宋_GB2312" w:cs="Times New Roman"/>
                <w:i w:val="0"/>
                <w:iCs w:val="0"/>
                <w:color w:val="000000"/>
                <w:kern w:val="0"/>
                <w:sz w:val="28"/>
                <w:szCs w:val="28"/>
                <w:u w:val="none"/>
                <w:lang w:val="en-US" w:eastAsia="zh-CN" w:bidi="ar"/>
              </w:rPr>
              <w:br w:type="textWrapping"/>
            </w:r>
            <w:r>
              <w:rPr>
                <w:rFonts w:hint="default" w:ascii="Times New Roman" w:hAnsi="Times New Roman" w:eastAsia="仿宋_GB2312" w:cs="Times New Roman"/>
                <w:i w:val="0"/>
                <w:iCs w:val="0"/>
                <w:color w:val="000000"/>
                <w:kern w:val="0"/>
                <w:sz w:val="28"/>
                <w:szCs w:val="28"/>
                <w:u w:val="none"/>
                <w:lang w:val="en-US" w:eastAsia="zh-CN" w:bidi="ar"/>
              </w:rPr>
              <w:t>事项</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政府投资</w:t>
            </w:r>
            <w:r>
              <w:rPr>
                <w:rFonts w:hint="default" w:ascii="Times New Roman" w:hAnsi="Times New Roman" w:eastAsia="仿宋_GB2312" w:cs="Times New Roman"/>
                <w:i w:val="0"/>
                <w:iCs w:val="0"/>
                <w:color w:val="000000"/>
                <w:kern w:val="0"/>
                <w:sz w:val="28"/>
                <w:szCs w:val="28"/>
                <w:u w:val="none"/>
                <w:lang w:val="en-US" w:eastAsia="zh-CN" w:bidi="ar"/>
              </w:rPr>
              <w:br w:type="textWrapping"/>
            </w:r>
            <w:r>
              <w:rPr>
                <w:rFonts w:hint="default" w:ascii="Times New Roman" w:hAnsi="Times New Roman" w:eastAsia="仿宋_GB2312" w:cs="Times New Roman"/>
                <w:i w:val="0"/>
                <w:iCs w:val="0"/>
                <w:color w:val="000000"/>
                <w:kern w:val="0"/>
                <w:sz w:val="28"/>
                <w:szCs w:val="28"/>
                <w:u w:val="none"/>
                <w:lang w:val="en-US" w:eastAsia="zh-CN" w:bidi="ar"/>
              </w:rPr>
              <w:t>项目</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在线监测、</w:t>
            </w:r>
            <w:r>
              <w:rPr>
                <w:rFonts w:hint="default" w:ascii="Times New Roman" w:hAnsi="Times New Roman" w:eastAsia="仿宋_GB2312" w:cs="Times New Roman"/>
                <w:i w:val="0"/>
                <w:iCs w:val="0"/>
                <w:color w:val="000000"/>
                <w:kern w:val="0"/>
                <w:sz w:val="28"/>
                <w:szCs w:val="28"/>
                <w:u w:val="none"/>
                <w:lang w:val="en-US" w:eastAsia="zh-CN" w:bidi="ar"/>
              </w:rPr>
              <w:br w:type="textWrapping"/>
            </w:r>
            <w:r>
              <w:rPr>
                <w:rFonts w:hint="default" w:ascii="Times New Roman" w:hAnsi="Times New Roman" w:eastAsia="仿宋_GB2312" w:cs="Times New Roman"/>
                <w:i w:val="0"/>
                <w:iCs w:val="0"/>
                <w:color w:val="000000"/>
                <w:kern w:val="0"/>
                <w:sz w:val="28"/>
                <w:szCs w:val="28"/>
                <w:u w:val="none"/>
                <w:lang w:val="en-US" w:eastAsia="zh-CN" w:bidi="ar"/>
              </w:rPr>
              <w:t>现场检查、</w:t>
            </w:r>
            <w:r>
              <w:rPr>
                <w:rFonts w:hint="default" w:ascii="Times New Roman" w:hAnsi="Times New Roman" w:eastAsia="仿宋_GB2312" w:cs="Times New Roman"/>
                <w:i w:val="0"/>
                <w:iCs w:val="0"/>
                <w:color w:val="000000"/>
                <w:kern w:val="0"/>
                <w:sz w:val="28"/>
                <w:szCs w:val="28"/>
                <w:u w:val="none"/>
                <w:lang w:val="en-US" w:eastAsia="zh-CN" w:bidi="ar"/>
              </w:rPr>
              <w:br w:type="textWrapping"/>
            </w:r>
            <w:r>
              <w:rPr>
                <w:rFonts w:hint="default" w:ascii="Times New Roman" w:hAnsi="Times New Roman" w:eastAsia="仿宋_GB2312" w:cs="Times New Roman"/>
                <w:i w:val="0"/>
                <w:iCs w:val="0"/>
                <w:color w:val="000000"/>
                <w:kern w:val="0"/>
                <w:sz w:val="28"/>
                <w:szCs w:val="28"/>
                <w:u w:val="none"/>
                <w:lang w:val="en-US" w:eastAsia="zh-CN" w:bidi="ar"/>
              </w:rPr>
              <w:t>书面检查</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本年度一次</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5%-20%</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4-12月</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sectPr>
          <w:footerReference r:id="rId4" w:type="default"/>
          <w:pgSz w:w="16838" w:h="11906" w:orient="landscape"/>
          <w:pgMar w:top="1531" w:right="2098" w:bottom="1531" w:left="1984"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tbl>
      <w:tblPr>
        <w:tblStyle w:val="7"/>
        <w:tblpPr w:leftFromText="180" w:rightFromText="180" w:vertAnchor="text" w:horzAnchor="page" w:tblpXSpec="center" w:tblpY="619"/>
        <w:tblOverlap w:val="never"/>
        <w:tblW w:w="13695" w:type="dxa"/>
        <w:jc w:val="center"/>
        <w:tblLayout w:type="fixed"/>
        <w:tblCellMar>
          <w:top w:w="0" w:type="dxa"/>
          <w:left w:w="108" w:type="dxa"/>
          <w:bottom w:w="0" w:type="dxa"/>
          <w:right w:w="108" w:type="dxa"/>
        </w:tblCellMar>
      </w:tblPr>
      <w:tblGrid>
        <w:gridCol w:w="2142"/>
        <w:gridCol w:w="2031"/>
        <w:gridCol w:w="4779"/>
        <w:gridCol w:w="4743"/>
      </w:tblGrid>
      <w:tr>
        <w:tblPrEx>
          <w:tblCellMar>
            <w:top w:w="0" w:type="dxa"/>
            <w:left w:w="108" w:type="dxa"/>
            <w:bottom w:w="0" w:type="dxa"/>
            <w:right w:w="108" w:type="dxa"/>
          </w:tblCellMar>
        </w:tblPrEx>
        <w:trPr>
          <w:trHeight w:val="720" w:hRule="atLeast"/>
          <w:jc w:val="center"/>
        </w:trPr>
        <w:tc>
          <w:tcPr>
            <w:tcW w:w="13695"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方正小标宋简体" w:cs="Times New Roman"/>
                <w:b w:val="0"/>
                <w:bCs w:val="0"/>
                <w:i w:val="0"/>
                <w:iCs w:val="0"/>
                <w:color w:val="000000"/>
                <w:kern w:val="0"/>
                <w:sz w:val="44"/>
                <w:szCs w:val="44"/>
                <w:u w:val="none"/>
                <w:lang w:val="en-US" w:eastAsia="zh-CN" w:bidi="ar"/>
              </w:rPr>
              <w:t>2024年双随机</w:t>
            </w:r>
            <w:r>
              <w:rPr>
                <w:rFonts w:hint="eastAsia" w:eastAsia="方正小标宋简体" w:cs="Times New Roman"/>
                <w:b w:val="0"/>
                <w:bCs w:val="0"/>
                <w:i w:val="0"/>
                <w:iCs w:val="0"/>
                <w:color w:val="000000"/>
                <w:kern w:val="0"/>
                <w:sz w:val="44"/>
                <w:szCs w:val="44"/>
                <w:u w:val="none"/>
                <w:lang w:val="en-US" w:eastAsia="zh-CN" w:bidi="ar"/>
              </w:rPr>
              <w:t>、</w:t>
            </w:r>
            <w:r>
              <w:rPr>
                <w:rFonts w:hint="default" w:ascii="Times New Roman" w:hAnsi="Times New Roman" w:eastAsia="方正小标宋简体" w:cs="Times New Roman"/>
                <w:b w:val="0"/>
                <w:bCs w:val="0"/>
                <w:i w:val="0"/>
                <w:iCs w:val="0"/>
                <w:color w:val="000000"/>
                <w:kern w:val="0"/>
                <w:sz w:val="44"/>
                <w:szCs w:val="44"/>
                <w:u w:val="none"/>
                <w:lang w:val="en-US" w:eastAsia="zh-CN" w:bidi="ar"/>
              </w:rPr>
              <w:t>一公开监管工作检查事项清单</w:t>
            </w:r>
          </w:p>
        </w:tc>
      </w:tr>
      <w:tr>
        <w:tblPrEx>
          <w:tblCellMar>
            <w:top w:w="0" w:type="dxa"/>
            <w:left w:w="108" w:type="dxa"/>
            <w:bottom w:w="0" w:type="dxa"/>
            <w:right w:w="108" w:type="dxa"/>
          </w:tblCellMar>
        </w:tblPrEx>
        <w:trPr>
          <w:trHeight w:val="1186" w:hRule="atLeast"/>
          <w:jc w:val="center"/>
        </w:trPr>
        <w:tc>
          <w:tcPr>
            <w:tcW w:w="2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检查事项</w:t>
            </w:r>
          </w:p>
        </w:tc>
        <w:tc>
          <w:tcPr>
            <w:tcW w:w="2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检查对象</w:t>
            </w:r>
          </w:p>
        </w:tc>
        <w:tc>
          <w:tcPr>
            <w:tcW w:w="4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检查内容</w:t>
            </w:r>
          </w:p>
        </w:tc>
        <w:tc>
          <w:tcPr>
            <w:tcW w:w="4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检查依据</w:t>
            </w:r>
          </w:p>
        </w:tc>
      </w:tr>
      <w:tr>
        <w:tblPrEx>
          <w:tblCellMar>
            <w:top w:w="0" w:type="dxa"/>
            <w:left w:w="108" w:type="dxa"/>
            <w:bottom w:w="0" w:type="dxa"/>
            <w:right w:w="108" w:type="dxa"/>
          </w:tblCellMar>
        </w:tblPrEx>
        <w:trPr>
          <w:trHeight w:val="4749" w:hRule="atLeast"/>
          <w:jc w:val="center"/>
        </w:trPr>
        <w:tc>
          <w:tcPr>
            <w:tcW w:w="2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对政府投资项目的监管</w:t>
            </w:r>
          </w:p>
        </w:tc>
        <w:tc>
          <w:tcPr>
            <w:tcW w:w="2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政府投资项目</w:t>
            </w:r>
          </w:p>
        </w:tc>
        <w:tc>
          <w:tcPr>
            <w:tcW w:w="4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1、政府投资项目申报审批程序合法合规情况；</w:t>
            </w:r>
            <w:r>
              <w:rPr>
                <w:rFonts w:hint="default" w:ascii="Times New Roman" w:hAnsi="Times New Roman" w:eastAsia="仿宋_GB2312" w:cs="Times New Roman"/>
                <w:i w:val="0"/>
                <w:iCs w:val="0"/>
                <w:color w:val="000000"/>
                <w:kern w:val="0"/>
                <w:sz w:val="28"/>
                <w:szCs w:val="28"/>
                <w:u w:val="none"/>
                <w:lang w:val="en-US" w:eastAsia="zh-CN" w:bidi="ar"/>
              </w:rPr>
              <w:br w:type="textWrapping"/>
            </w:r>
            <w:r>
              <w:rPr>
                <w:rFonts w:hint="default" w:ascii="Times New Roman" w:hAnsi="Times New Roman" w:eastAsia="仿宋_GB2312" w:cs="Times New Roman"/>
                <w:i w:val="0"/>
                <w:iCs w:val="0"/>
                <w:color w:val="000000"/>
                <w:kern w:val="0"/>
                <w:sz w:val="28"/>
                <w:szCs w:val="28"/>
                <w:u w:val="none"/>
                <w:lang w:val="en-US" w:eastAsia="zh-CN" w:bidi="ar"/>
              </w:rPr>
              <w:t>2、项目投资计划执行情况。</w:t>
            </w:r>
          </w:p>
        </w:tc>
        <w:tc>
          <w:tcPr>
            <w:tcW w:w="4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《政府投资条例》第二十七条“政府投资主管部门和依法对政府投资项目负有监督管理职责的其他部门应当采取在线监测、现场核查等方式，加强对政府投资项目实施情况的监督检查。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1596" w:leftChars="760" w:firstLine="3840" w:firstLineChars="1200"/>
        <w:jc w:val="left"/>
        <w:textAlignment w:val="auto"/>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sectPr>
          <w:footerReference r:id="rId5" w:type="default"/>
          <w:pgSz w:w="16838" w:h="11906" w:orient="landscape"/>
          <w:pgMar w:top="1587" w:right="2098" w:bottom="1474" w:left="1984"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ge">
                  <wp:posOffset>9536430</wp:posOffset>
                </wp:positionV>
                <wp:extent cx="2353945" cy="360045"/>
                <wp:effectExtent l="0" t="0" r="0" b="0"/>
                <wp:wrapTopAndBottom/>
                <wp:docPr id="5" name="文本框 7"/>
                <wp:cNvGraphicFramePr/>
                <a:graphic xmlns:a="http://schemas.openxmlformats.org/drawingml/2006/main">
                  <a:graphicData uri="http://schemas.microsoft.com/office/word/2010/wordprocessingShape">
                    <wps:wsp>
                      <wps:cNvSpPr txBox="1"/>
                      <wps:spPr>
                        <a:xfrm>
                          <a:off x="0" y="0"/>
                          <a:ext cx="2353945" cy="360045"/>
                        </a:xfrm>
                        <a:prstGeom prst="rect">
                          <a:avLst/>
                        </a:prstGeom>
                        <a:noFill/>
                        <a:ln>
                          <a:noFill/>
                        </a:ln>
                      </wps:spPr>
                      <wps:txbx>
                        <w:txbxContent>
                          <w:p>
                            <w:pPr>
                              <w:wordWrap w:val="0"/>
                              <w:jc w:val="right"/>
                              <w:rPr>
                                <w:rFonts w:ascii="仿宋" w:hAnsi="仿宋" w:eastAsia="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color w:val="000000"/>
                                <w:sz w:val="32"/>
                              </w:rPr>
                              <w:t>年</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月</w:t>
                            </w:r>
                            <w:r>
                              <w:rPr>
                                <w:rFonts w:hint="eastAsia" w:ascii="仿宋_GB2312" w:hAnsi="仿宋_GB2312" w:eastAsia="仿宋_GB2312" w:cs="仿宋_GB2312"/>
                                <w:color w:val="000000"/>
                                <w:sz w:val="32"/>
                                <w:lang w:val="en-US" w:eastAsia="zh-CN"/>
                              </w:rPr>
                              <w:t>27</w:t>
                            </w:r>
                            <w:r>
                              <w:rPr>
                                <w:rFonts w:hint="eastAsia" w:ascii="仿宋_GB2312" w:hAnsi="仿宋_GB2312" w:eastAsia="仿宋_GB2312" w:cs="仿宋_GB2312"/>
                                <w:color w:val="000000"/>
                                <w:sz w:val="32"/>
                              </w:rPr>
                              <w:t>日印</w:t>
                            </w:r>
                            <w:r>
                              <w:rPr>
                                <w:rFonts w:hint="eastAsia" w:ascii="仿宋_GB2312" w:hAnsi="仿宋_GB2312" w:eastAsia="仿宋_GB2312" w:cs="仿宋_GB2312"/>
                                <w:sz w:val="32"/>
                              </w:rPr>
                              <w:t>发</w:t>
                            </w:r>
                          </w:p>
                        </w:txbxContent>
                      </wps:txbx>
                      <wps:bodyPr lIns="0" tIns="0" rIns="0" bIns="0" upright="1"/>
                    </wps:wsp>
                  </a:graphicData>
                </a:graphic>
              </wp:anchor>
            </w:drawing>
          </mc:Choice>
          <mc:Fallback>
            <w:pict>
              <v:shape id="文本框 7" o:spid="_x0000_s1026" o:spt="202" type="#_x0000_t202" style="position:absolute;left:0pt;margin-left:231pt;margin-top:750.9pt;height:28.35pt;width:185.35pt;mso-position-vertical-relative:page;mso-wrap-distance-bottom:0pt;mso-wrap-distance-top:0pt;z-index:251662336;mso-width-relative:page;mso-height-relative:page;" filled="f" stroked="f" coordsize="21600,21600" o:gfxdata="UEsDBAoAAAAAAIdO4kAAAAAAAAAAAAAAAAAEAAAAZHJzL1BLAwQUAAAACACHTuJAr/lK8toAAAAN&#10;AQAADwAAAGRycy9kb3ducmV2LnhtbE2PT0+EMBDF7yZ+h2ZMvLktKIhI2RijJxMjiwePhXahWTpF&#10;2v3jt3f2pMd57+XN+1Xrk5vYwSzBepSQrAQwg73XFgcJn+3rTQEsRIVaTR6NhB8TYF1fXlSq1P6I&#10;jTls4sCoBEOpJIwxziXnoR+NU2HlZ4Pkbf3iVKRzGbhe1JHK3cRTIXLulEX6MKrZPI+m3232TsLT&#10;FzYv9vu9+2i2jW3bB4Fv+U7K66tEPAKL5hT/wnCeT9Ohpk2d36MObJJwl6fEEsnIREIQFClu03tg&#10;3VnKigx4XfH/FPUvUEsDBBQAAAAIAIdO4kBkrjLJuwEAAHIDAAAOAAAAZHJzL2Uyb0RvYy54bWyt&#10;U82O0zAQviPxDpbv1NmWXSBquhKqFiEhQFp4ANexG0u2x7LdJn0BeANOXLjzXH2OHTtN94fLHrg4&#10;X2Ym38z3jbO8HqwhexmiBtfQi1lFiXQCWu22Df3+7ebVW0pi4q7lBpxs6EFGer16+WLZ+1rOoQPT&#10;ykCQxMW69w3tUvI1Y1F00vI4Ay8dJhUEyxO+hi1rA++R3Ro2r6or1kNofQAhY8ToekzSE2N4DiEo&#10;pYVcg9hZ6dLIGqThCSXFTvtIV2VapaRIX5SKMhHTUFSayolNEG/yyVZLXm8D950WpxH4c0Z4osly&#10;7bDpmWrNEye7oP+hsloEiKDSTIBlo5DiCKq4qJ54c9txL4sWtDr6s+nx/9GKz/uvgei2oZeUOG5x&#10;4cdfP4+//x7//CBvsj29jzVW3XqsS8N7GPDSTPGIwax6UMHmJ+ohmEdzD2dz5ZCIwOB8cbl49xq7&#10;CMwtrqoKMdKz+699iOmDBEsyaGjA5RVP+f5TTGPpVJKbObjRxpQFGvcogJw5wvLo44gZpWEznPRs&#10;oD2gHPPRoZX5WkwgTGAzgZ0PetvhOEV0ocRVlLlP1ybv+uF7aXz/q6z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5SvLaAAAADQEAAA8AAAAAAAAAAQAgAAAAIgAAAGRycy9kb3ducmV2LnhtbFBL&#10;AQIUABQAAAAIAIdO4kBkrjLJuwEAAHIDAAAOAAAAAAAAAAEAIAAAACkBAABkcnMvZTJvRG9jLnht&#10;bFBLBQYAAAAABgAGAFkBAABWBQAAAAA=&#10;">
                <v:fill on="f" focussize="0,0"/>
                <v:stroke on="f"/>
                <v:imagedata o:title=""/>
                <o:lock v:ext="edit" aspectratio="f"/>
                <v:textbox inset="0mm,0mm,0mm,0mm">
                  <w:txbxContent>
                    <w:p>
                      <w:pPr>
                        <w:wordWrap w:val="0"/>
                        <w:jc w:val="right"/>
                        <w:rPr>
                          <w:rFonts w:ascii="仿宋" w:hAnsi="仿宋" w:eastAsia="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color w:val="000000"/>
                          <w:sz w:val="32"/>
                        </w:rPr>
                        <w:t>年</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月</w:t>
                      </w:r>
                      <w:r>
                        <w:rPr>
                          <w:rFonts w:hint="eastAsia" w:ascii="仿宋_GB2312" w:hAnsi="仿宋_GB2312" w:eastAsia="仿宋_GB2312" w:cs="仿宋_GB2312"/>
                          <w:color w:val="000000"/>
                          <w:sz w:val="32"/>
                          <w:lang w:val="en-US" w:eastAsia="zh-CN"/>
                        </w:rPr>
                        <w:t>27</w:t>
                      </w:r>
                      <w:r>
                        <w:rPr>
                          <w:rFonts w:hint="eastAsia" w:ascii="仿宋_GB2312" w:hAnsi="仿宋_GB2312" w:eastAsia="仿宋_GB2312" w:cs="仿宋_GB2312"/>
                          <w:color w:val="000000"/>
                          <w:sz w:val="32"/>
                        </w:rPr>
                        <w:t>日印</w:t>
                      </w:r>
                      <w:r>
                        <w:rPr>
                          <w:rFonts w:hint="eastAsia" w:ascii="仿宋_GB2312" w:hAnsi="仿宋_GB2312" w:eastAsia="仿宋_GB2312" w:cs="仿宋_GB2312"/>
                          <w:sz w:val="32"/>
                        </w:rPr>
                        <w:t>发</w:t>
                      </w:r>
                    </w:p>
                  </w:txbxContent>
                </v:textbox>
                <w10:wrap type="topAndBottom"/>
              </v:shape>
            </w:pict>
          </mc:Fallback>
        </mc:AlternateContent>
      </w:r>
      <w:r>
        <w:rPr>
          <w:rFonts w:hint="default" w:ascii="Times New Roman" w:hAnsi="Times New Roman" w:eastAsia="仿宋_GB2312"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ge">
                  <wp:posOffset>9536430</wp:posOffset>
                </wp:positionV>
                <wp:extent cx="3314700" cy="360045"/>
                <wp:effectExtent l="0" t="0" r="0" b="0"/>
                <wp:wrapTopAndBottom/>
                <wp:docPr id="4" name="文本框 6"/>
                <wp:cNvGraphicFramePr/>
                <a:graphic xmlns:a="http://schemas.openxmlformats.org/drawingml/2006/main">
                  <a:graphicData uri="http://schemas.microsoft.com/office/word/2010/wordprocessingShape">
                    <wps:wsp>
                      <wps:cNvSpPr txBox="1"/>
                      <wps:spPr>
                        <a:xfrm>
                          <a:off x="0" y="0"/>
                          <a:ext cx="3314700" cy="360045"/>
                        </a:xfrm>
                        <a:prstGeom prst="rect">
                          <a:avLst/>
                        </a:prstGeom>
                        <a:noFill/>
                        <a:ln>
                          <a:noFill/>
                        </a:ln>
                      </wps:spPr>
                      <wps:txbx>
                        <w:txbxContent>
                          <w:p>
                            <w:pPr>
                              <w:rPr>
                                <w:rFonts w:hint="eastAsia" w:ascii="仿宋_GB2312" w:hAnsi="仿宋_GB2312" w:eastAsia="仿宋_GB2312" w:cs="仿宋_GB2312"/>
                                <w:lang w:val="en-US" w:eastAsia="zh-CN"/>
                              </w:rPr>
                            </w:pPr>
                            <w:r>
                              <w:rPr>
                                <w:rFonts w:hint="eastAsia" w:ascii="仿宋_GB2312" w:hAnsi="仿宋_GB2312" w:eastAsia="仿宋_GB2312" w:cs="仿宋_GB2312"/>
                                <w:spacing w:val="-20"/>
                                <w:sz w:val="32"/>
                                <w:szCs w:val="32"/>
                              </w:rPr>
                              <w:t>郑</w:t>
                            </w:r>
                            <w:r>
                              <w:rPr>
                                <w:rFonts w:hint="eastAsia" w:ascii="仿宋_GB2312" w:hAnsi="仿宋_GB2312" w:eastAsia="仿宋_GB2312" w:cs="仿宋_GB2312"/>
                                <w:spacing w:val="-20"/>
                                <w:sz w:val="32"/>
                                <w:szCs w:val="32"/>
                                <w:lang w:val="en-US" w:eastAsia="zh-CN"/>
                              </w:rPr>
                              <w:t>州市郑东新区经济发展局</w:t>
                            </w:r>
                          </w:p>
                        </w:txbxContent>
                      </wps:txbx>
                      <wps:bodyPr lIns="0" tIns="0" rIns="0" bIns="0" upright="1"/>
                    </wps:wsp>
                  </a:graphicData>
                </a:graphic>
              </wp:anchor>
            </w:drawing>
          </mc:Choice>
          <mc:Fallback>
            <w:pict>
              <v:shape id="文本框 6" o:spid="_x0000_s1026" o:spt="202" type="#_x0000_t202" style="position:absolute;left:0pt;margin-left:-9pt;margin-top:750.9pt;height:28.35pt;width:261pt;mso-position-vertical-relative:page;mso-wrap-distance-bottom:0pt;mso-wrap-distance-top:0pt;z-index:251661312;mso-width-relative:page;mso-height-relative:page;" filled="f" stroked="f" coordsize="21600,21600" o:gfxdata="UEsDBAoAAAAAAIdO4kAAAAAAAAAAAAAAAAAEAAAAZHJzL1BLAwQUAAAACACHTuJAHK3Zj9kAAAAN&#10;AQAADwAAAGRycy9kb3ducmV2LnhtbE2PzU7DMBCE70i8g7WVuLV2EKlCGqdCCE5IiDQcODrJNrEa&#10;r0Ps/vD2bE9w3JnR7HzF9uJGccI5WE8akpUCgdT6zlKv4bN+XWYgQjTUmdETavjBANvy9qYweefP&#10;VOFpF3vBJRRyo2GIccqlDO2AzoSVn5DY2/vZmcjn3MtuNmcud6O8V2otnbHEHwYz4fOA7WF3dBqe&#10;vqh6sd/vzUe1r2xdPyp6Wx+0vlskagMi4iX+heE6n6dDyZsaf6QuiFHDMsmYJbKRqoQhOJKqB5aa&#10;q5RmKciykP8pyl9QSwMEFAAAAAgAh07iQMDXiyO6AQAAcgMAAA4AAABkcnMvZTJvRG9jLnhtbK1T&#10;zY7TMBC+I/EOlu/U6bYUFDVdCVWLkBAgLTyA69iNJf/J4zbpC8AbcOLCnefqczB2mi4slz1wcSYz&#10;k2++7xtnfTtYQ44ygvauofNZRYl0wrfa7Rv65fPdi9eUQOKu5cY72dCTBHq7ef5s3Yda3vjOm1ZG&#10;giAO6j40tEsp1IyB6KTlMPNBOiwqHy1P+Br3rI28R3Rr2E1VrVjvYxuiFxIAs9uxSC+I8SmAXikt&#10;5NaLg5UujahRGp5QEnQ6AN0UtkpJkT4qBTIR01BUmsqJQzDe5ZNt1rzeRx46LS4U+FMoPNJkuXY4&#10;9Aq15YmTQ9T/QFktogev0kx4y0YhxRFUMa8eeXPf8SCLFrQawtV0+H+w4sPxUyS6beiSEsctLvz8&#10;/dv5x6/zz69kle3pA9TYdR+wLw1v/ICXZsoDJrPqQUWbn6iHYB3NPV3NlUMiApOLxXz5qsKSwNpi&#10;VVXLlxmGPXwdIqS30luSg4ZGXF7xlB/fQxpbp5Y8zPk7bUxZoHF/JRAzZ1imPlLMURp2w0XPzrcn&#10;lGPeObQyX4spiFOwm4JDiHrfIZ0iukDiKgrvy7XJu/7zvQx++FU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rdmP2QAAAA0BAAAPAAAAAAAAAAEAIAAAACIAAABkcnMvZG93bnJldi54bWxQSwEC&#10;FAAUAAAACACHTuJAwNeLI7oBAAByAwAADgAAAAAAAAABACAAAAAoAQAAZHJzL2Uyb0RvYy54bWxQ&#10;SwUGAAAAAAYABgBZAQAAVAUAAAAA&#10;">
                <v:fill on="f" focussize="0,0"/>
                <v:stroke on="f"/>
                <v:imagedata o:title=""/>
                <o:lock v:ext="edit" aspectratio="f"/>
                <v:textbox inset="0mm,0mm,0mm,0mm">
                  <w:txbxContent>
                    <w:p>
                      <w:pPr>
                        <w:rPr>
                          <w:rFonts w:hint="eastAsia" w:ascii="仿宋_GB2312" w:hAnsi="仿宋_GB2312" w:eastAsia="仿宋_GB2312" w:cs="仿宋_GB2312"/>
                          <w:lang w:val="en-US" w:eastAsia="zh-CN"/>
                        </w:rPr>
                      </w:pPr>
                      <w:r>
                        <w:rPr>
                          <w:rFonts w:hint="eastAsia" w:ascii="仿宋_GB2312" w:hAnsi="仿宋_GB2312" w:eastAsia="仿宋_GB2312" w:cs="仿宋_GB2312"/>
                          <w:spacing w:val="-20"/>
                          <w:sz w:val="32"/>
                          <w:szCs w:val="32"/>
                        </w:rPr>
                        <w:t>郑</w:t>
                      </w:r>
                      <w:r>
                        <w:rPr>
                          <w:rFonts w:hint="eastAsia" w:ascii="仿宋_GB2312" w:hAnsi="仿宋_GB2312" w:eastAsia="仿宋_GB2312" w:cs="仿宋_GB2312"/>
                          <w:spacing w:val="-20"/>
                          <w:sz w:val="32"/>
                          <w:szCs w:val="32"/>
                          <w:lang w:val="en-US" w:eastAsia="zh-CN"/>
                        </w:rPr>
                        <w:t>州市郑东新区经济发展局</w:t>
                      </w:r>
                    </w:p>
                  </w:txbxContent>
                </v:textbox>
                <w10:wrap type="topAndBottom"/>
              </v:shape>
            </w:pict>
          </mc:Fallback>
        </mc:AlternateContent>
      </w:r>
      <w:r>
        <w:rPr>
          <w:rFonts w:hint="default" w:ascii="Times New Roman" w:hAnsi="Times New Roman" w:eastAsia="仿宋_GB2312"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ge">
                  <wp:posOffset>9536430</wp:posOffset>
                </wp:positionV>
                <wp:extent cx="5615940" cy="0"/>
                <wp:effectExtent l="0" t="0" r="0" b="0"/>
                <wp:wrapTopAndBottom/>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750.9pt;height:0pt;width:442.2pt;mso-position-vertical-relative:page;mso-wrap-distance-bottom:0pt;mso-wrap-distance-top:0pt;z-index:251659264;mso-width-relative:page;mso-height-relative:page;" filled="f" stroked="t" coordsize="21600,21600" o:gfxdata="UEsDBAoAAAAAAIdO4kAAAAAAAAAAAAAAAAAEAAAAZHJzL1BLAwQUAAAACACHTuJA5hiUk9gAAAAN&#10;AQAADwAAAGRycy9kb3ducmV2LnhtbE2PvU7DQBCEeyTe4bRINFFy5yREluNzCsAdDQFEu7EX24pv&#10;z/FdfuDpWQoE5c6MZufLNxfXqxONofNsIZkZUMSVrztuLLy+lNMUVIjINfaeycInBdgU11c5ZrU/&#10;8zOdtrFRUsIhQwttjEOmdahachhmfiAW78OPDqOcY6PrEc9S7no9N2alHXYsH1oc6L6lar89Oguh&#10;fKND+TWpJuZ90XiaHx6eHtHa25vErEFFusS/MPzMl+lQyKadP3IdVG9hulgJSxTjziQCIZF0mS5B&#10;7X4lXeT6P0XxDVBLAwQUAAAACACHTuJAs8LlDukBAADbAwAADgAAAGRycy9lMm9Eb2MueG1srVNL&#10;btswEN0X6B0I7mvZTh00guUs4qabojXQ9ABjkpII8AcObdln6TW66qbHyTU6pBynTTdeRAtqyBm+&#10;mfdmuLw9WMP2KqL2ruGzyZQz5YSX2nUN//5w/+4DZ5jASTDeqYYfFfLb1ds3yyHUau57b6SKjEAc&#10;1kNoeJ9SqKsKRa8s4MQH5cjZ+mgh0TZ2lYwwELo11Xw6va4GH2WIXihEOl2PTn5CjJcA+rbVQq29&#10;2Fnl0ogalYFElLDXAfmqVNu2SqSvbYsqMdNwYprKSknI3ua1Wi2h7iKEXotTCXBJCS84WdCOkp6h&#10;1pCA7aL+D8pqET36Nk2Et9VIpChCLGbTF9p86yGowoWkxnAWHV8PVnzZbyLTsuFzzhxYavjjj5+P&#10;v36zq6zNELCmkDu3iacdhk3MRA9ttPlPFNih6Hk866kOiQk6XFzPFjfvSWrx5KueL4aI6ZPylmWj&#10;4Ua7TBVq2H/GRMko9CkkHxvHhobfLOYLggOau5b6TaYNVDu6rtxFb7S818bkGxi77Z2JbA+59+XL&#10;lAj3n7CcZA3Yj3HFNU5Fr0B+dJKlYyBVHD0GnkuwSnJmFL2dbBEg1Am0uSSSUhtHFWRVRx2ztfXy&#10;SD3Yhai7npSYlSqzh3pe6j3NZx6qv/cF6flNr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hiU&#10;k9gAAAANAQAADwAAAAAAAAABACAAAAAiAAAAZHJzL2Rvd25yZXYueG1sUEsBAhQAFAAAAAgAh07i&#10;QLPC5Q7pAQAA2wMAAA4AAAAAAAAAAQAgAAAAJwEAAGRycy9lMm9Eb2MueG1sUEsFBgAAAAAGAAYA&#10;WQEAAIIFAAAAAA==&#10;">
                <v:fill on="f" focussize="0,0"/>
                <v:stroke color="#000000" joinstyle="round"/>
                <v:imagedata o:title=""/>
                <o:lock v:ext="edit" aspectratio="f"/>
                <w10:wrap type="topAndBottom"/>
              </v:line>
            </w:pict>
          </mc:Fallback>
        </mc:AlternateContent>
      </w:r>
      <w:r>
        <w:rPr>
          <w:rFonts w:hint="default" w:ascii="Times New Roman" w:hAnsi="Times New Roman" w:eastAsia="仿宋_GB2312"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margin">
                  <wp:posOffset>-228600</wp:posOffset>
                </wp:positionH>
                <wp:positionV relativeFrom="page">
                  <wp:posOffset>9932670</wp:posOffset>
                </wp:positionV>
                <wp:extent cx="5600700" cy="17780"/>
                <wp:effectExtent l="0" t="4445" r="0" b="6350"/>
                <wp:wrapTopAndBottom/>
                <wp:docPr id="3" name="直线 5"/>
                <wp:cNvGraphicFramePr/>
                <a:graphic xmlns:a="http://schemas.openxmlformats.org/drawingml/2006/main">
                  <a:graphicData uri="http://schemas.microsoft.com/office/word/2010/wordprocessingShape">
                    <wps:wsp>
                      <wps:cNvCnPr/>
                      <wps:spPr>
                        <a:xfrm flipV="1">
                          <a:off x="0" y="0"/>
                          <a:ext cx="5600700" cy="17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18pt;margin-top:782.1pt;height:1.4pt;width:441pt;mso-position-horizontal-relative:margin;mso-position-vertical-relative:page;mso-wrap-distance-bottom:0pt;mso-wrap-distance-top:0pt;z-index:251660288;mso-width-relative:page;mso-height-relative:page;" filled="f" stroked="t" coordsize="21600,21600" o:gfxdata="UEsDBAoAAAAAAIdO4kAAAAAAAAAAAAAAAAAEAAAAZHJzL1BLAwQUAAAACACHTuJA2viIIdkAAAAN&#10;AQAADwAAAGRycy9kb3ducmV2LnhtbE2PwU7DMBBE70j8g7VI3Fq7aQklxKkQAi5ISJTA2YmXJCJe&#10;R7Gblr/vthc47sxo9k2+ObheTDiGzpOGxVyBQKq97ajRUH48z9YgQjRkTe8JNfxigE1xeZGbzPo9&#10;veO0jY3gEgqZ0dDGOGRShrpFZ8LcD0jsffvRmcjn2Eg7mj2Xu14mSqXSmY74Q2sGfGyx/tnunIaH&#10;r9en5dtUOd/bu6b8tK5UL4nW11cLdQ8i4iH+heGEz+hQMFPld2SD6DXMlilviWzcpKsEBEfWq5NU&#10;naVbBbLI5f8VxRFQSwMEFAAAAAgAh07iQPcE3Pv0AQAA6QMAAA4AAABkcnMvZTJvRG9jLnhtbK1T&#10;S44TMRDdI3EHy3vSnaBMhlY6s5gwbBBEYmBfsd3dlvyTy/mdhWuwYsNx5hqU3SHAsMmCXrTKrvKr&#10;es/Py7ujNWyvImrvWj6d1JwpJ7zUrm/558eHV7ecYQInwXinWn5SyO9WL18sD6FRMz94I1VkBOKw&#10;OYSWDymFpqpQDMoCTnxQjpKdjxYSLWNfyQgHQremmtX1TXXwUYbohUKk3fWY5GfEeA2g7zot1NqL&#10;nVUujahRGUhECQcdkK/KtF2nRPrYdagSMy0npqn8qQnF2/yvVkto+ghh0OI8AlwzwjNOFrSjpheo&#10;NSRgu6j/gbJaRI++SxPhbTUSKYoQi2n9TJtPAwRVuJDUGC6i4/+DFR/2m8i0bPlrzhxYuvCnr9+e&#10;vv9g86zNIWBDJfduE88rDJuYiR67aFlndPhCJirUiQw7FmVPF2XVMTFBm/Obul7UJLqg3HSxuC3K&#10;VyNMhgsR0zvlLctBy412mTg0sH+PiVpT6a+SvG0cO7T8zXw2J0ggF3Z0+xTaQEzQ9eUseqPlgzYm&#10;n8DYb+9NZHvITihfJki4f5XlJmvAYawrqdEjgwL51kmWToE0cvQ0eB7BKsmZUfSSckSA0CTQ5ppK&#10;am0cTZA1HlXN0dbLE93ILkTdD6TEtEyZM+SAMu/Zrdlif64L0u8Xuv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viIIdkAAAANAQAADwAAAAAAAAABACAAAAAiAAAAZHJzL2Rvd25yZXYueG1sUEsB&#10;AhQAFAAAAAgAh07iQPcE3Pv0AQAA6QMAAA4AAAAAAAAAAQAgAAAAKAEAAGRycy9lMm9Eb2MueG1s&#10;UEsFBgAAAAAGAAYAWQEAAI4FAAAAAA==&#10;">
                <v:fill on="f" focussize="0,0"/>
                <v:stroke color="#000000" joinstyle="round"/>
                <v:imagedata o:title=""/>
                <o:lock v:ext="edit" aspectratio="f"/>
                <w10:wrap type="topAndBottom"/>
              </v:line>
            </w:pict>
          </mc:Fallback>
        </mc:AlternateContent>
      </w:r>
      <w: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t>22年5月11日</w:t>
      </w: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3"/>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3"/>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3"/>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3"/>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3"/>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3"/>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pStyle w:val="2"/>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仿宋_GB2312" w:cs="Times New Roman"/>
          <w:sz w:val="32"/>
          <w:szCs w:val="32"/>
          <w:lang w:val="en-US" w:eastAsia="zh-CN"/>
        </w:rPr>
      </w:pPr>
    </w:p>
    <w:sectPr>
      <w:footerReference r:id="rId6"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YmYxNjkxNWVlYTA0YTNlNjZlMWQzMDE3Y2RkNzYifQ=="/>
  </w:docVars>
  <w:rsids>
    <w:rsidRoot w:val="00DE0341"/>
    <w:rsid w:val="00021B93"/>
    <w:rsid w:val="000738E7"/>
    <w:rsid w:val="000875BA"/>
    <w:rsid w:val="001243E0"/>
    <w:rsid w:val="001E3955"/>
    <w:rsid w:val="00245057"/>
    <w:rsid w:val="0028267C"/>
    <w:rsid w:val="00310A92"/>
    <w:rsid w:val="00356E05"/>
    <w:rsid w:val="00371F36"/>
    <w:rsid w:val="003F2CF3"/>
    <w:rsid w:val="004276C2"/>
    <w:rsid w:val="00492C0B"/>
    <w:rsid w:val="004A61E3"/>
    <w:rsid w:val="00532239"/>
    <w:rsid w:val="0059425E"/>
    <w:rsid w:val="005C221C"/>
    <w:rsid w:val="00613341"/>
    <w:rsid w:val="00617DE9"/>
    <w:rsid w:val="00684337"/>
    <w:rsid w:val="006A5367"/>
    <w:rsid w:val="007E5DF4"/>
    <w:rsid w:val="009064FD"/>
    <w:rsid w:val="009D0F21"/>
    <w:rsid w:val="00A578C7"/>
    <w:rsid w:val="00C53CB0"/>
    <w:rsid w:val="00C86420"/>
    <w:rsid w:val="00CF1C5E"/>
    <w:rsid w:val="00D34CD5"/>
    <w:rsid w:val="00DE0341"/>
    <w:rsid w:val="00E63286"/>
    <w:rsid w:val="00EF4347"/>
    <w:rsid w:val="00F130C9"/>
    <w:rsid w:val="00FB6271"/>
    <w:rsid w:val="01013895"/>
    <w:rsid w:val="015E71A1"/>
    <w:rsid w:val="016043AA"/>
    <w:rsid w:val="01C761D7"/>
    <w:rsid w:val="02B24167"/>
    <w:rsid w:val="031A0E1F"/>
    <w:rsid w:val="040C068C"/>
    <w:rsid w:val="04A954D0"/>
    <w:rsid w:val="05812B41"/>
    <w:rsid w:val="05B94836"/>
    <w:rsid w:val="05E937C7"/>
    <w:rsid w:val="06654211"/>
    <w:rsid w:val="06665A28"/>
    <w:rsid w:val="07454535"/>
    <w:rsid w:val="07484896"/>
    <w:rsid w:val="07EE2809"/>
    <w:rsid w:val="08DC69E7"/>
    <w:rsid w:val="099B7A98"/>
    <w:rsid w:val="0A324777"/>
    <w:rsid w:val="0A93759F"/>
    <w:rsid w:val="0AC540F0"/>
    <w:rsid w:val="0B1C43EA"/>
    <w:rsid w:val="0B2134A2"/>
    <w:rsid w:val="0B4C0212"/>
    <w:rsid w:val="0BA07191"/>
    <w:rsid w:val="0BC32F2F"/>
    <w:rsid w:val="0C34090D"/>
    <w:rsid w:val="0C8A49D1"/>
    <w:rsid w:val="0C9831EF"/>
    <w:rsid w:val="0CA912FB"/>
    <w:rsid w:val="0DB87585"/>
    <w:rsid w:val="0E623214"/>
    <w:rsid w:val="0EE50669"/>
    <w:rsid w:val="0EF3685E"/>
    <w:rsid w:val="0F2F5A3A"/>
    <w:rsid w:val="0FBD57A7"/>
    <w:rsid w:val="107C4C7E"/>
    <w:rsid w:val="11E80155"/>
    <w:rsid w:val="121216F1"/>
    <w:rsid w:val="129C3ADB"/>
    <w:rsid w:val="12C21852"/>
    <w:rsid w:val="12FA1D7C"/>
    <w:rsid w:val="130F28C3"/>
    <w:rsid w:val="13293EBD"/>
    <w:rsid w:val="13457AA7"/>
    <w:rsid w:val="1391403F"/>
    <w:rsid w:val="13BF5402"/>
    <w:rsid w:val="13DC54A9"/>
    <w:rsid w:val="14B179F6"/>
    <w:rsid w:val="15344B53"/>
    <w:rsid w:val="159A45BE"/>
    <w:rsid w:val="15DA0777"/>
    <w:rsid w:val="16E656E9"/>
    <w:rsid w:val="1723121E"/>
    <w:rsid w:val="176C26A2"/>
    <w:rsid w:val="17A4407B"/>
    <w:rsid w:val="17AF1490"/>
    <w:rsid w:val="18351C95"/>
    <w:rsid w:val="18E6596C"/>
    <w:rsid w:val="1902602D"/>
    <w:rsid w:val="190C49FD"/>
    <w:rsid w:val="191B3FA6"/>
    <w:rsid w:val="195910E9"/>
    <w:rsid w:val="1A417290"/>
    <w:rsid w:val="1A4E27AA"/>
    <w:rsid w:val="1A6945C9"/>
    <w:rsid w:val="1AD102FA"/>
    <w:rsid w:val="1B62610C"/>
    <w:rsid w:val="1B9C5895"/>
    <w:rsid w:val="1C140A32"/>
    <w:rsid w:val="1C3B002E"/>
    <w:rsid w:val="1C4A7CD9"/>
    <w:rsid w:val="1C676ADD"/>
    <w:rsid w:val="1C7A05BE"/>
    <w:rsid w:val="1D0804D2"/>
    <w:rsid w:val="1D2B3667"/>
    <w:rsid w:val="1DAB5B4E"/>
    <w:rsid w:val="1DE72CDA"/>
    <w:rsid w:val="1DF37261"/>
    <w:rsid w:val="1E0A4259"/>
    <w:rsid w:val="1E44267D"/>
    <w:rsid w:val="1E512ACC"/>
    <w:rsid w:val="1EA06BBD"/>
    <w:rsid w:val="1EB11C83"/>
    <w:rsid w:val="1F4E7AE0"/>
    <w:rsid w:val="1F536EA5"/>
    <w:rsid w:val="1FC707B5"/>
    <w:rsid w:val="1FE0374C"/>
    <w:rsid w:val="1FE06B3A"/>
    <w:rsid w:val="2037049E"/>
    <w:rsid w:val="203877B8"/>
    <w:rsid w:val="20624E15"/>
    <w:rsid w:val="20655871"/>
    <w:rsid w:val="20B52362"/>
    <w:rsid w:val="21243284"/>
    <w:rsid w:val="22541DF3"/>
    <w:rsid w:val="22C314DF"/>
    <w:rsid w:val="22EC2B04"/>
    <w:rsid w:val="233A4A90"/>
    <w:rsid w:val="23F635E7"/>
    <w:rsid w:val="24030B6D"/>
    <w:rsid w:val="24412560"/>
    <w:rsid w:val="24CA231E"/>
    <w:rsid w:val="24FD4B2F"/>
    <w:rsid w:val="257A45E4"/>
    <w:rsid w:val="25D35C5B"/>
    <w:rsid w:val="267B3D78"/>
    <w:rsid w:val="27182EAE"/>
    <w:rsid w:val="278D5529"/>
    <w:rsid w:val="2798684E"/>
    <w:rsid w:val="27B316B4"/>
    <w:rsid w:val="27D5318A"/>
    <w:rsid w:val="28755FB6"/>
    <w:rsid w:val="28C1737F"/>
    <w:rsid w:val="2958460F"/>
    <w:rsid w:val="298D19DA"/>
    <w:rsid w:val="2A4554B1"/>
    <w:rsid w:val="2A650A2B"/>
    <w:rsid w:val="2A9220F8"/>
    <w:rsid w:val="2B4E61FB"/>
    <w:rsid w:val="2BBB0509"/>
    <w:rsid w:val="2C7843EE"/>
    <w:rsid w:val="2CF62264"/>
    <w:rsid w:val="2E6332F2"/>
    <w:rsid w:val="2ECB3CF9"/>
    <w:rsid w:val="2F753846"/>
    <w:rsid w:val="2F9D4428"/>
    <w:rsid w:val="30CF3375"/>
    <w:rsid w:val="31261F16"/>
    <w:rsid w:val="313A2C78"/>
    <w:rsid w:val="319359C3"/>
    <w:rsid w:val="32CA2B05"/>
    <w:rsid w:val="32F15165"/>
    <w:rsid w:val="330031ED"/>
    <w:rsid w:val="33453773"/>
    <w:rsid w:val="33951476"/>
    <w:rsid w:val="33C20B0C"/>
    <w:rsid w:val="34605747"/>
    <w:rsid w:val="34A97438"/>
    <w:rsid w:val="34EC597A"/>
    <w:rsid w:val="3501526D"/>
    <w:rsid w:val="350D63D7"/>
    <w:rsid w:val="35A17583"/>
    <w:rsid w:val="3674185E"/>
    <w:rsid w:val="37795029"/>
    <w:rsid w:val="37E961A0"/>
    <w:rsid w:val="380A368A"/>
    <w:rsid w:val="381A45AC"/>
    <w:rsid w:val="38821F74"/>
    <w:rsid w:val="38F35529"/>
    <w:rsid w:val="39114F6A"/>
    <w:rsid w:val="39C60486"/>
    <w:rsid w:val="39CB105A"/>
    <w:rsid w:val="39F024D4"/>
    <w:rsid w:val="3A6C685B"/>
    <w:rsid w:val="3B7F179E"/>
    <w:rsid w:val="3B9D325B"/>
    <w:rsid w:val="3C025A83"/>
    <w:rsid w:val="3C1E771A"/>
    <w:rsid w:val="3CD125CE"/>
    <w:rsid w:val="3D20510C"/>
    <w:rsid w:val="3D3D4FC4"/>
    <w:rsid w:val="3D420661"/>
    <w:rsid w:val="3D446A5E"/>
    <w:rsid w:val="3D6A09D4"/>
    <w:rsid w:val="3E261EFC"/>
    <w:rsid w:val="3E86299B"/>
    <w:rsid w:val="3EBC7591"/>
    <w:rsid w:val="3ED31D81"/>
    <w:rsid w:val="3F581644"/>
    <w:rsid w:val="3FDD2A8F"/>
    <w:rsid w:val="3FE376C9"/>
    <w:rsid w:val="403050E4"/>
    <w:rsid w:val="414032D5"/>
    <w:rsid w:val="420B4568"/>
    <w:rsid w:val="421502BE"/>
    <w:rsid w:val="42414E32"/>
    <w:rsid w:val="42A57515"/>
    <w:rsid w:val="42CB6BCE"/>
    <w:rsid w:val="42E00DDB"/>
    <w:rsid w:val="436762B6"/>
    <w:rsid w:val="44F67D55"/>
    <w:rsid w:val="456D040E"/>
    <w:rsid w:val="45733F90"/>
    <w:rsid w:val="474C2558"/>
    <w:rsid w:val="478F031D"/>
    <w:rsid w:val="48094E9F"/>
    <w:rsid w:val="482A4397"/>
    <w:rsid w:val="487A16FF"/>
    <w:rsid w:val="488D463C"/>
    <w:rsid w:val="48C022BA"/>
    <w:rsid w:val="49C37533"/>
    <w:rsid w:val="4A234A45"/>
    <w:rsid w:val="4A476D6E"/>
    <w:rsid w:val="4A653182"/>
    <w:rsid w:val="4B533BEE"/>
    <w:rsid w:val="4B683B54"/>
    <w:rsid w:val="4C082063"/>
    <w:rsid w:val="4C2257D3"/>
    <w:rsid w:val="4C766E9C"/>
    <w:rsid w:val="4C9D782D"/>
    <w:rsid w:val="4D6754E9"/>
    <w:rsid w:val="4E0C2B7C"/>
    <w:rsid w:val="4E2576EB"/>
    <w:rsid w:val="4E3E696B"/>
    <w:rsid w:val="4E946A0E"/>
    <w:rsid w:val="4E9B1E84"/>
    <w:rsid w:val="4EA457B4"/>
    <w:rsid w:val="4EDA20C6"/>
    <w:rsid w:val="4F0E4BDC"/>
    <w:rsid w:val="4F821905"/>
    <w:rsid w:val="4FD277EE"/>
    <w:rsid w:val="50104760"/>
    <w:rsid w:val="50210776"/>
    <w:rsid w:val="50373AF5"/>
    <w:rsid w:val="507B7E26"/>
    <w:rsid w:val="50930559"/>
    <w:rsid w:val="5149389A"/>
    <w:rsid w:val="51814744"/>
    <w:rsid w:val="51CC1C4C"/>
    <w:rsid w:val="51DC6E13"/>
    <w:rsid w:val="520C1E5E"/>
    <w:rsid w:val="52C7562F"/>
    <w:rsid w:val="52D30DFF"/>
    <w:rsid w:val="53204D14"/>
    <w:rsid w:val="539202F3"/>
    <w:rsid w:val="53CF3302"/>
    <w:rsid w:val="549C661D"/>
    <w:rsid w:val="549E62EB"/>
    <w:rsid w:val="55186589"/>
    <w:rsid w:val="55672A14"/>
    <w:rsid w:val="55B77C1C"/>
    <w:rsid w:val="56575F5B"/>
    <w:rsid w:val="56863DEC"/>
    <w:rsid w:val="56AC4963"/>
    <w:rsid w:val="57020E34"/>
    <w:rsid w:val="57201787"/>
    <w:rsid w:val="572E7395"/>
    <w:rsid w:val="57592104"/>
    <w:rsid w:val="57A51F67"/>
    <w:rsid w:val="57C1115B"/>
    <w:rsid w:val="57F168B6"/>
    <w:rsid w:val="58A37864"/>
    <w:rsid w:val="58BF0149"/>
    <w:rsid w:val="58F5279F"/>
    <w:rsid w:val="59016A11"/>
    <w:rsid w:val="59CF6A05"/>
    <w:rsid w:val="5A1D55AA"/>
    <w:rsid w:val="5A630DA3"/>
    <w:rsid w:val="5AB63C43"/>
    <w:rsid w:val="5B087111"/>
    <w:rsid w:val="5C0A3940"/>
    <w:rsid w:val="5CBE01D0"/>
    <w:rsid w:val="5D2D69AC"/>
    <w:rsid w:val="5E827691"/>
    <w:rsid w:val="5EC24F36"/>
    <w:rsid w:val="5FD13E10"/>
    <w:rsid w:val="60CA004E"/>
    <w:rsid w:val="60DE6315"/>
    <w:rsid w:val="60E414AC"/>
    <w:rsid w:val="60FF0D97"/>
    <w:rsid w:val="611E1419"/>
    <w:rsid w:val="613C71BD"/>
    <w:rsid w:val="61735167"/>
    <w:rsid w:val="61FA5FE9"/>
    <w:rsid w:val="622132D7"/>
    <w:rsid w:val="623C1B08"/>
    <w:rsid w:val="626E7598"/>
    <w:rsid w:val="634506FA"/>
    <w:rsid w:val="63705DD4"/>
    <w:rsid w:val="63957059"/>
    <w:rsid w:val="64643AA3"/>
    <w:rsid w:val="646F31ED"/>
    <w:rsid w:val="64B31C95"/>
    <w:rsid w:val="658E57B8"/>
    <w:rsid w:val="661636DF"/>
    <w:rsid w:val="66FB0FCB"/>
    <w:rsid w:val="67700E3E"/>
    <w:rsid w:val="67D975ED"/>
    <w:rsid w:val="68871BBB"/>
    <w:rsid w:val="690647C2"/>
    <w:rsid w:val="6913393B"/>
    <w:rsid w:val="69DC747E"/>
    <w:rsid w:val="6A0C4F7D"/>
    <w:rsid w:val="6A8442E4"/>
    <w:rsid w:val="6AE508C6"/>
    <w:rsid w:val="6CC11413"/>
    <w:rsid w:val="6CC452E7"/>
    <w:rsid w:val="6CEE5F0C"/>
    <w:rsid w:val="6D654337"/>
    <w:rsid w:val="6D707890"/>
    <w:rsid w:val="6D927A99"/>
    <w:rsid w:val="6D96397D"/>
    <w:rsid w:val="6DA47BC5"/>
    <w:rsid w:val="6DBA2782"/>
    <w:rsid w:val="6E2A65EF"/>
    <w:rsid w:val="6E753D0F"/>
    <w:rsid w:val="6F143F4A"/>
    <w:rsid w:val="6F857232"/>
    <w:rsid w:val="6FE43E6D"/>
    <w:rsid w:val="70161C4A"/>
    <w:rsid w:val="703402F5"/>
    <w:rsid w:val="704045D3"/>
    <w:rsid w:val="705930ED"/>
    <w:rsid w:val="70B66FF2"/>
    <w:rsid w:val="71B66B18"/>
    <w:rsid w:val="72A37369"/>
    <w:rsid w:val="72DD6643"/>
    <w:rsid w:val="736172BF"/>
    <w:rsid w:val="746864D0"/>
    <w:rsid w:val="74C564D1"/>
    <w:rsid w:val="75F722CA"/>
    <w:rsid w:val="764B6637"/>
    <w:rsid w:val="769D3E02"/>
    <w:rsid w:val="77617526"/>
    <w:rsid w:val="782710CA"/>
    <w:rsid w:val="785B21C7"/>
    <w:rsid w:val="78697690"/>
    <w:rsid w:val="787B4617"/>
    <w:rsid w:val="788F5F87"/>
    <w:rsid w:val="790507AF"/>
    <w:rsid w:val="791919FD"/>
    <w:rsid w:val="795A1860"/>
    <w:rsid w:val="79662B67"/>
    <w:rsid w:val="79EF44CD"/>
    <w:rsid w:val="7A5E5F9F"/>
    <w:rsid w:val="7A70182E"/>
    <w:rsid w:val="7ACF29F8"/>
    <w:rsid w:val="7B1A7B56"/>
    <w:rsid w:val="7B8740C6"/>
    <w:rsid w:val="7BE41C97"/>
    <w:rsid w:val="7BEC6C49"/>
    <w:rsid w:val="7C232F25"/>
    <w:rsid w:val="7CED7907"/>
    <w:rsid w:val="7E4843F8"/>
    <w:rsid w:val="7EF5379B"/>
    <w:rsid w:val="7F292E22"/>
    <w:rsid w:val="7F342CB0"/>
    <w:rsid w:val="7F6851CA"/>
    <w:rsid w:val="7FAD0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autoRedefine/>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3">
    <w:name w:val="index 5"/>
    <w:basedOn w:val="1"/>
    <w:next w:val="1"/>
    <w:autoRedefine/>
    <w:qFormat/>
    <w:uiPriority w:val="0"/>
    <w:pPr>
      <w:widowControl w:val="0"/>
      <w:ind w:left="1680"/>
      <w:jc w:val="both"/>
    </w:pPr>
    <w:rPr>
      <w:rFonts w:ascii="Times New Roman" w:hAnsi="Times New Roman" w:eastAsia="宋体" w:cs="Times New Roman"/>
      <w:kern w:val="2"/>
      <w:sz w:val="32"/>
      <w:szCs w:val="32"/>
      <w:lang w:val="en-US" w:eastAsia="zh-CN" w:bidi="ar-SA"/>
    </w:rPr>
  </w:style>
  <w:style w:type="paragraph" w:styleId="4">
    <w:name w:val="Body Text Indent"/>
    <w:basedOn w:val="1"/>
    <w:link w:val="11"/>
    <w:autoRedefine/>
    <w:qFormat/>
    <w:uiPriority w:val="0"/>
    <w:pPr>
      <w:spacing w:line="560" w:lineRule="exact"/>
      <w:ind w:firstLine="567"/>
    </w:pPr>
    <w:rPr>
      <w:sz w:val="28"/>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semiHidden/>
    <w:qFormat/>
    <w:uiPriority w:val="99"/>
    <w:rPr>
      <w:rFonts w:ascii="Times New Roman" w:hAnsi="Times New Roman" w:eastAsia="宋体" w:cs="Times New Roman"/>
      <w:sz w:val="18"/>
      <w:szCs w:val="18"/>
    </w:rPr>
  </w:style>
  <w:style w:type="character" w:customStyle="1" w:styleId="10">
    <w:name w:val="页脚 Char"/>
    <w:basedOn w:val="8"/>
    <w:link w:val="5"/>
    <w:autoRedefine/>
    <w:semiHidden/>
    <w:qFormat/>
    <w:uiPriority w:val="99"/>
    <w:rPr>
      <w:rFonts w:ascii="Times New Roman" w:hAnsi="Times New Roman" w:eastAsia="宋体" w:cs="Times New Roman"/>
      <w:sz w:val="18"/>
      <w:szCs w:val="18"/>
    </w:rPr>
  </w:style>
  <w:style w:type="character" w:customStyle="1" w:styleId="11">
    <w:name w:val="正文文本缩进 Char"/>
    <w:basedOn w:val="8"/>
    <w:link w:val="4"/>
    <w:autoRedefine/>
    <w:qFormat/>
    <w:uiPriority w:val="0"/>
    <w:rPr>
      <w:rFonts w:ascii="Times New Roman" w:hAnsi="Times New Roman" w:eastAsia="宋体" w:cs="Times New Roman"/>
      <w:sz w:val="28"/>
      <w:szCs w:val="24"/>
    </w:rPr>
  </w:style>
  <w:style w:type="paragraph" w:customStyle="1" w:styleId="12">
    <w:name w:val="文本正文"/>
    <w:basedOn w:val="1"/>
    <w:autoRedefine/>
    <w:qFormat/>
    <w:uiPriority w:val="0"/>
    <w:pPr>
      <w:spacing w:line="360" w:lineRule="auto"/>
      <w:ind w:firstLine="560" w:firstLineChars="200"/>
    </w:pPr>
    <w:rPr>
      <w:rFonts w:ascii="Calibri" w:hAnsi="Calibri" w:eastAsia="宋体" w:cs="Times New Roman"/>
      <w:sz w:val="28"/>
      <w:szCs w:val="28"/>
    </w:rPr>
  </w:style>
  <w:style w:type="paragraph" w:customStyle="1" w:styleId="13">
    <w:name w:val="0.正文"/>
    <w:autoRedefine/>
    <w:qFormat/>
    <w:uiPriority w:val="0"/>
    <w:pPr>
      <w:widowControl w:val="0"/>
      <w:spacing w:line="360" w:lineRule="auto"/>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741</Words>
  <Characters>766</Characters>
  <Lines>6</Lines>
  <Paragraphs>1</Paragraphs>
  <TotalTime>3</TotalTime>
  <ScaleCrop>false</ScaleCrop>
  <LinksUpToDate>false</LinksUpToDate>
  <CharactersWithSpaces>772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2021-02-22T03:14:00Z</dcterms:created>
  <dc:creator>Administrator</dc:creator>
  <cp:lastModifiedBy>旺仔</cp:lastModifiedBy>
  <cp:lastPrinted>2024-03-27T03:14:00Z</cp:lastPrinted>
  <dcterms:modified xsi:type="dcterms:W3CDTF">2024-03-28T00:45:25Z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0294C7A0CC3D41E6B703D597A1C3F0A0_13</vt:lpwstr>
  </property>
</Properties>
</file>